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04" w:rsidRPr="00DE2670" w:rsidRDefault="004C1004" w:rsidP="00DE2670">
      <w:pPr>
        <w:pStyle w:val="Heading6"/>
        <w:jc w:val="center"/>
        <w:rPr>
          <w:b/>
          <w:bCs/>
          <w:sz w:val="24"/>
          <w:szCs w:val="24"/>
          <w:lang w:val="ru-RU"/>
        </w:rPr>
      </w:pPr>
      <w:r w:rsidRPr="00DE2670">
        <w:rPr>
          <w:b/>
          <w:bCs/>
          <w:sz w:val="24"/>
          <w:szCs w:val="24"/>
          <w:lang w:val="ru-RU"/>
        </w:rPr>
        <w:t>ОТКРЫТОЕ АКЦИОНЕРНОЕ ОБЩЕСТВО</w:t>
      </w:r>
    </w:p>
    <w:p w:rsidR="004C1004" w:rsidRPr="00DE2670" w:rsidRDefault="004C1004" w:rsidP="00DE2670">
      <w:pPr>
        <w:pStyle w:val="BodyText3"/>
        <w:spacing w:line="240" w:lineRule="auto"/>
        <w:rPr>
          <w:szCs w:val="24"/>
        </w:rPr>
      </w:pPr>
      <w:r w:rsidRPr="00DE2670">
        <w:rPr>
          <w:b/>
          <w:bCs/>
          <w:szCs w:val="24"/>
        </w:rPr>
        <w:t>ВСЕРОССИЙСКИЙ ДВАЖДЫ ОРДЕНА ТРУДОВОГО КРАСНОГО ЗНАМЕНИ ТЕПЛОТЕХНИЧЕСКИЙ НАУЧНО-ИССЛЕДОВАТЕЛЬСКИЙ</w:t>
      </w:r>
    </w:p>
    <w:p w:rsidR="004C1004" w:rsidRPr="00DE2670" w:rsidRDefault="004C1004" w:rsidP="00DE2670">
      <w:pPr>
        <w:pStyle w:val="BodyText3"/>
        <w:spacing w:line="240" w:lineRule="auto"/>
        <w:rPr>
          <w:szCs w:val="24"/>
        </w:rPr>
      </w:pPr>
      <w:r w:rsidRPr="00DE2670">
        <w:rPr>
          <w:b/>
          <w:bCs/>
          <w:szCs w:val="24"/>
        </w:rPr>
        <w:t>ИНСТИТУТ (ОАО «ВТИ»)</w:t>
      </w:r>
    </w:p>
    <w:p w:rsidR="004C1004" w:rsidRDefault="004C1004" w:rsidP="00DE2670">
      <w:pPr>
        <w:suppressAutoHyphens/>
        <w:ind w:left="4400"/>
        <w:rPr>
          <w:rFonts w:ascii="Times New Roman" w:hAnsi="Times New Roman"/>
          <w:sz w:val="24"/>
          <w:szCs w:val="24"/>
        </w:rPr>
      </w:pPr>
    </w:p>
    <w:p w:rsidR="004C1004" w:rsidRDefault="004C1004" w:rsidP="00DE2670">
      <w:pPr>
        <w:suppressAutoHyphens/>
        <w:ind w:left="4400"/>
        <w:jc w:val="right"/>
        <w:rPr>
          <w:rFonts w:ascii="Times New Roman" w:hAnsi="Times New Roman"/>
          <w:sz w:val="24"/>
          <w:szCs w:val="24"/>
        </w:rPr>
      </w:pPr>
    </w:p>
    <w:p w:rsidR="004C1004" w:rsidRPr="00DE2670" w:rsidRDefault="004C1004" w:rsidP="00DE2670">
      <w:pPr>
        <w:suppressAutoHyphens/>
        <w:ind w:left="4400"/>
        <w:jc w:val="right"/>
        <w:rPr>
          <w:rFonts w:ascii="Times New Roman" w:hAnsi="Times New Roman"/>
          <w:snapToGrid w:val="0"/>
          <w:sz w:val="24"/>
          <w:szCs w:val="24"/>
        </w:rPr>
      </w:pPr>
      <w:r w:rsidRPr="00DE2670">
        <w:rPr>
          <w:rFonts w:ascii="Times New Roman" w:hAnsi="Times New Roman"/>
          <w:sz w:val="24"/>
          <w:szCs w:val="24"/>
        </w:rPr>
        <w:t>УТВЕРЖДАЮ</w:t>
      </w:r>
    </w:p>
    <w:p w:rsidR="004C1004" w:rsidRPr="00DE2670" w:rsidRDefault="004C1004" w:rsidP="00DE2670">
      <w:pPr>
        <w:pStyle w:val="BodyText3"/>
        <w:spacing w:line="240" w:lineRule="auto"/>
        <w:jc w:val="right"/>
        <w:rPr>
          <w:szCs w:val="24"/>
        </w:rPr>
      </w:pPr>
      <w:r w:rsidRPr="00DE2670">
        <w:rPr>
          <w:szCs w:val="24"/>
        </w:rPr>
        <w:t>П</w:t>
      </w:r>
      <w:r>
        <w:rPr>
          <w:szCs w:val="24"/>
        </w:rPr>
        <w:t xml:space="preserve">ервый заместитель генерального </w:t>
      </w:r>
      <w:r w:rsidRPr="00DE2670">
        <w:rPr>
          <w:szCs w:val="24"/>
        </w:rPr>
        <w:t>директора,</w:t>
      </w:r>
    </w:p>
    <w:p w:rsidR="004C1004" w:rsidRPr="00DE2670" w:rsidRDefault="004C1004" w:rsidP="00DE2670">
      <w:pPr>
        <w:pStyle w:val="BodyText3"/>
        <w:spacing w:line="240" w:lineRule="auto"/>
        <w:jc w:val="right"/>
        <w:rPr>
          <w:szCs w:val="24"/>
        </w:rPr>
      </w:pPr>
      <w:r w:rsidRPr="00DE2670">
        <w:rPr>
          <w:szCs w:val="24"/>
        </w:rPr>
        <w:t>научный руководитель, д.т.н.</w:t>
      </w:r>
    </w:p>
    <w:p w:rsidR="004C1004" w:rsidRPr="00DE2670" w:rsidRDefault="004C1004" w:rsidP="00DE2670">
      <w:pPr>
        <w:pStyle w:val="BodyText3"/>
        <w:jc w:val="right"/>
        <w:rPr>
          <w:szCs w:val="24"/>
        </w:rPr>
      </w:pPr>
      <w:r w:rsidRPr="00DE2670">
        <w:rPr>
          <w:szCs w:val="24"/>
        </w:rPr>
        <w:t>А.Г. Тумановский</w:t>
      </w:r>
    </w:p>
    <w:p w:rsidR="004C1004" w:rsidRPr="00DE2670" w:rsidRDefault="004C1004" w:rsidP="00DE2670">
      <w:pPr>
        <w:pStyle w:val="BodyText3"/>
        <w:jc w:val="right"/>
        <w:rPr>
          <w:szCs w:val="24"/>
        </w:rPr>
      </w:pPr>
      <w:r>
        <w:rPr>
          <w:szCs w:val="24"/>
        </w:rPr>
        <w:t>“__” _______________2012</w:t>
      </w:r>
      <w:r w:rsidRPr="00DE2670">
        <w:rPr>
          <w:szCs w:val="24"/>
        </w:rPr>
        <w:t xml:space="preserve"> г.</w:t>
      </w:r>
    </w:p>
    <w:p w:rsidR="004C1004" w:rsidRDefault="004C1004" w:rsidP="00DE2670">
      <w:pPr>
        <w:suppressAutoHyphens/>
        <w:spacing w:line="360" w:lineRule="auto"/>
        <w:ind w:left="1760"/>
        <w:rPr>
          <w:rFonts w:ascii="Times New Roman" w:hAnsi="Times New Roman"/>
          <w:snapToGrid w:val="0"/>
          <w:sz w:val="24"/>
          <w:szCs w:val="24"/>
        </w:rPr>
      </w:pPr>
    </w:p>
    <w:p w:rsidR="004C1004" w:rsidRDefault="004C1004" w:rsidP="00DE2670">
      <w:pPr>
        <w:suppressAutoHyphens/>
        <w:spacing w:line="360" w:lineRule="auto"/>
        <w:ind w:left="1760"/>
        <w:rPr>
          <w:rFonts w:ascii="Times New Roman" w:hAnsi="Times New Roman"/>
          <w:snapToGrid w:val="0"/>
          <w:sz w:val="24"/>
          <w:szCs w:val="24"/>
        </w:rPr>
      </w:pPr>
    </w:p>
    <w:p w:rsidR="004C1004" w:rsidRDefault="004C1004" w:rsidP="00DA7265">
      <w:pPr>
        <w:pStyle w:val="BodyTextIndent2"/>
        <w:ind w:right="-738"/>
        <w:jc w:val="center"/>
        <w:outlineLvl w:val="0"/>
        <w:rPr>
          <w:b/>
          <w:i w:val="0"/>
          <w:szCs w:val="28"/>
        </w:rPr>
      </w:pPr>
      <w:r w:rsidRPr="00DE2670">
        <w:rPr>
          <w:b/>
          <w:i w:val="0"/>
          <w:szCs w:val="28"/>
        </w:rPr>
        <w:t>ЗАКЛЮЧЕНИЕ</w:t>
      </w:r>
    </w:p>
    <w:p w:rsidR="004C1004" w:rsidRPr="00DE2670" w:rsidRDefault="004C1004" w:rsidP="00DE2670">
      <w:pPr>
        <w:pStyle w:val="BodyTextIndent2"/>
        <w:tabs>
          <w:tab w:val="decimal" w:pos="-993"/>
        </w:tabs>
        <w:ind w:right="-738"/>
        <w:jc w:val="center"/>
        <w:outlineLvl w:val="0"/>
        <w:rPr>
          <w:b/>
          <w:i w:val="0"/>
          <w:szCs w:val="28"/>
        </w:rPr>
      </w:pPr>
    </w:p>
    <w:p w:rsidR="004C1004" w:rsidRPr="00DE2670" w:rsidRDefault="004C1004" w:rsidP="00DE2670">
      <w:pPr>
        <w:pStyle w:val="BodyTextIndent2"/>
        <w:ind w:right="-30" w:firstLine="0"/>
        <w:jc w:val="center"/>
        <w:outlineLvl w:val="0"/>
        <w:rPr>
          <w:b/>
          <w:i w:val="0"/>
          <w:sz w:val="24"/>
          <w:szCs w:val="24"/>
        </w:rPr>
      </w:pPr>
    </w:p>
    <w:p w:rsidR="004C1004" w:rsidRPr="00DE2670" w:rsidRDefault="004C1004" w:rsidP="00DE2670">
      <w:pPr>
        <w:pStyle w:val="BodyTextIndent2"/>
        <w:ind w:right="-58"/>
        <w:jc w:val="center"/>
        <w:outlineLvl w:val="0"/>
        <w:rPr>
          <w:i w:val="0"/>
          <w:sz w:val="24"/>
          <w:szCs w:val="24"/>
        </w:rPr>
      </w:pPr>
      <w:r w:rsidRPr="00DE2670">
        <w:rPr>
          <w:i w:val="0"/>
          <w:sz w:val="24"/>
          <w:szCs w:val="24"/>
        </w:rPr>
        <w:t>(по дого</w:t>
      </w:r>
      <w:r>
        <w:rPr>
          <w:i w:val="0"/>
          <w:sz w:val="24"/>
          <w:szCs w:val="24"/>
        </w:rPr>
        <w:t>вору № 626 от 07.08.2012 г.</w:t>
      </w:r>
      <w:r w:rsidRPr="00DE2670">
        <w:rPr>
          <w:i w:val="0"/>
          <w:sz w:val="24"/>
          <w:szCs w:val="24"/>
        </w:rPr>
        <w:t>)</w:t>
      </w:r>
    </w:p>
    <w:p w:rsidR="004C1004" w:rsidRPr="00DE2670" w:rsidRDefault="004C1004" w:rsidP="00DE2670">
      <w:pPr>
        <w:pStyle w:val="BodyTextIndent2"/>
        <w:ind w:right="-58"/>
        <w:jc w:val="center"/>
        <w:outlineLvl w:val="0"/>
        <w:rPr>
          <w:i w:val="0"/>
          <w:sz w:val="24"/>
          <w:szCs w:val="24"/>
        </w:rPr>
      </w:pPr>
    </w:p>
    <w:p w:rsidR="004C1004" w:rsidRPr="00DE2670" w:rsidRDefault="004C1004" w:rsidP="00DE2670">
      <w:pPr>
        <w:pStyle w:val="BodyTextIndent2"/>
        <w:ind w:right="-58"/>
        <w:jc w:val="center"/>
        <w:outlineLvl w:val="0"/>
        <w:rPr>
          <w:i w:val="0"/>
          <w:sz w:val="24"/>
          <w:szCs w:val="24"/>
        </w:rPr>
      </w:pPr>
    </w:p>
    <w:p w:rsidR="004C1004" w:rsidRPr="00DE2670" w:rsidRDefault="004C1004" w:rsidP="00DE2670">
      <w:pPr>
        <w:pStyle w:val="BodyTextIndent2"/>
        <w:ind w:right="-58"/>
        <w:jc w:val="center"/>
        <w:outlineLvl w:val="0"/>
        <w:rPr>
          <w:i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167"/>
        <w:gridCol w:w="2293"/>
        <w:gridCol w:w="2704"/>
      </w:tblGrid>
      <w:tr w:rsidR="004C1004" w:rsidRPr="00902B4E" w:rsidTr="003F401C">
        <w:trPr>
          <w:cantSplit/>
          <w:jc w:val="center"/>
        </w:trPr>
        <w:tc>
          <w:tcPr>
            <w:tcW w:w="4167" w:type="dxa"/>
          </w:tcPr>
          <w:p w:rsidR="004C1004" w:rsidRPr="00DE2670" w:rsidRDefault="004C1004" w:rsidP="003F401C">
            <w:pPr>
              <w:pStyle w:val="BodyTextIndent2"/>
              <w:ind w:right="-58" w:firstLine="0"/>
              <w:jc w:val="center"/>
              <w:outlineLvl w:val="0"/>
              <w:rPr>
                <w:i w:val="0"/>
                <w:sz w:val="24"/>
                <w:szCs w:val="24"/>
              </w:rPr>
            </w:pPr>
          </w:p>
          <w:p w:rsidR="004C1004" w:rsidRPr="00DE2670" w:rsidRDefault="004C1004" w:rsidP="003F401C">
            <w:pPr>
              <w:pStyle w:val="BodyTextIndent2"/>
              <w:ind w:right="-58" w:firstLine="0"/>
              <w:outlineLvl w:val="0"/>
              <w:rPr>
                <w:i w:val="0"/>
                <w:sz w:val="24"/>
                <w:szCs w:val="24"/>
              </w:rPr>
            </w:pPr>
            <w:r w:rsidRPr="00DE2670">
              <w:rPr>
                <w:i w:val="0"/>
                <w:sz w:val="24"/>
                <w:szCs w:val="24"/>
              </w:rPr>
              <w:t>Заведующий ОПТ, к.т.н.</w:t>
            </w:r>
          </w:p>
          <w:p w:rsidR="004C1004" w:rsidRPr="00DE2670" w:rsidRDefault="004C1004" w:rsidP="003F401C">
            <w:pPr>
              <w:pStyle w:val="BodyTextIndent2"/>
              <w:ind w:right="-58" w:firstLine="0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2293" w:type="dxa"/>
          </w:tcPr>
          <w:p w:rsidR="004C1004" w:rsidRPr="00DE2670" w:rsidRDefault="004C1004" w:rsidP="003F401C">
            <w:pPr>
              <w:pStyle w:val="BodyTextIndent2"/>
              <w:ind w:right="-58" w:firstLine="0"/>
              <w:jc w:val="center"/>
              <w:outlineLvl w:val="0"/>
              <w:rPr>
                <w:i w:val="0"/>
                <w:sz w:val="24"/>
                <w:szCs w:val="24"/>
              </w:rPr>
            </w:pPr>
          </w:p>
          <w:p w:rsidR="004C1004" w:rsidRPr="00DE2670" w:rsidRDefault="004C1004" w:rsidP="003F401C">
            <w:pPr>
              <w:pStyle w:val="BodyTextIndent2"/>
              <w:ind w:right="-58" w:firstLine="0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2704" w:type="dxa"/>
          </w:tcPr>
          <w:p w:rsidR="004C1004" w:rsidRPr="00DE2670" w:rsidRDefault="004C1004" w:rsidP="003F401C">
            <w:pPr>
              <w:pStyle w:val="BodyTextIndent2"/>
              <w:ind w:right="-58" w:firstLine="0"/>
              <w:jc w:val="center"/>
              <w:outlineLvl w:val="0"/>
              <w:rPr>
                <w:i w:val="0"/>
                <w:sz w:val="24"/>
                <w:szCs w:val="24"/>
              </w:rPr>
            </w:pPr>
          </w:p>
          <w:p w:rsidR="004C1004" w:rsidRPr="00DE2670" w:rsidRDefault="004C1004" w:rsidP="00DE2670">
            <w:pPr>
              <w:pStyle w:val="BodyTextIndent2"/>
              <w:ind w:left="-34" w:right="-58" w:firstLine="0"/>
              <w:jc w:val="right"/>
              <w:outlineLvl w:val="0"/>
              <w:rPr>
                <w:i w:val="0"/>
                <w:sz w:val="24"/>
                <w:szCs w:val="24"/>
              </w:rPr>
            </w:pPr>
            <w:r w:rsidRPr="00DE2670">
              <w:rPr>
                <w:i w:val="0"/>
                <w:sz w:val="24"/>
                <w:szCs w:val="24"/>
              </w:rPr>
              <w:t>Тугов А.Н.</w:t>
            </w:r>
          </w:p>
        </w:tc>
      </w:tr>
      <w:tr w:rsidR="004C1004" w:rsidRPr="00902B4E" w:rsidTr="003F401C">
        <w:trPr>
          <w:cantSplit/>
          <w:jc w:val="center"/>
        </w:trPr>
        <w:tc>
          <w:tcPr>
            <w:tcW w:w="4167" w:type="dxa"/>
          </w:tcPr>
          <w:p w:rsidR="004C1004" w:rsidRPr="00DE2670" w:rsidRDefault="004C1004" w:rsidP="003F401C">
            <w:pPr>
              <w:pStyle w:val="BodyTextIndent2"/>
              <w:ind w:right="-58" w:firstLine="0"/>
              <w:outlineLv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293" w:type="dxa"/>
          </w:tcPr>
          <w:p w:rsidR="004C1004" w:rsidRPr="00DE2670" w:rsidRDefault="004C1004" w:rsidP="003F401C">
            <w:pPr>
              <w:pStyle w:val="BodyTextIndent2"/>
              <w:ind w:right="-58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2704" w:type="dxa"/>
          </w:tcPr>
          <w:p w:rsidR="004C1004" w:rsidRPr="00DE2670" w:rsidRDefault="004C1004" w:rsidP="00DE2670">
            <w:pPr>
              <w:pStyle w:val="BodyTextIndent2"/>
              <w:ind w:right="-58"/>
              <w:jc w:val="right"/>
              <w:outlineLv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Соболева А.Н.</w:t>
            </w:r>
          </w:p>
        </w:tc>
      </w:tr>
      <w:tr w:rsidR="004C1004" w:rsidRPr="00902B4E" w:rsidTr="003F401C">
        <w:trPr>
          <w:cantSplit/>
          <w:jc w:val="center"/>
        </w:trPr>
        <w:tc>
          <w:tcPr>
            <w:tcW w:w="4167" w:type="dxa"/>
          </w:tcPr>
          <w:p w:rsidR="004C1004" w:rsidRDefault="004C1004" w:rsidP="003F401C">
            <w:pPr>
              <w:pStyle w:val="BodyTextIndent2"/>
              <w:ind w:right="-58" w:firstLine="0"/>
              <w:outlineLvl w:val="0"/>
              <w:rPr>
                <w:i w:val="0"/>
                <w:sz w:val="24"/>
                <w:szCs w:val="24"/>
              </w:rPr>
            </w:pPr>
          </w:p>
          <w:p w:rsidR="004C1004" w:rsidRPr="00DE2670" w:rsidRDefault="004C1004" w:rsidP="003F401C">
            <w:pPr>
              <w:pStyle w:val="BodyTextIndent2"/>
              <w:ind w:right="-58" w:firstLine="0"/>
              <w:outlineLv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293" w:type="dxa"/>
          </w:tcPr>
          <w:p w:rsidR="004C1004" w:rsidRPr="00DE2670" w:rsidRDefault="004C1004" w:rsidP="003F401C">
            <w:pPr>
              <w:pStyle w:val="BodyTextIndent2"/>
              <w:ind w:right="-58" w:firstLine="0"/>
              <w:jc w:val="center"/>
              <w:outlineLvl w:val="0"/>
              <w:rPr>
                <w:i w:val="0"/>
                <w:sz w:val="24"/>
                <w:szCs w:val="24"/>
              </w:rPr>
            </w:pPr>
          </w:p>
        </w:tc>
        <w:tc>
          <w:tcPr>
            <w:tcW w:w="2704" w:type="dxa"/>
          </w:tcPr>
          <w:p w:rsidR="004C1004" w:rsidRDefault="004C1004" w:rsidP="00DE2670">
            <w:pPr>
              <w:pStyle w:val="BodyTextIndent2"/>
              <w:ind w:right="-58" w:firstLine="0"/>
              <w:jc w:val="right"/>
              <w:outlineLvl w:val="0"/>
              <w:rPr>
                <w:i w:val="0"/>
                <w:sz w:val="24"/>
                <w:szCs w:val="24"/>
              </w:rPr>
            </w:pPr>
          </w:p>
          <w:p w:rsidR="004C1004" w:rsidRPr="00DE2670" w:rsidRDefault="004C1004" w:rsidP="00DE2670">
            <w:pPr>
              <w:pStyle w:val="BodyTextIndent2"/>
              <w:ind w:right="-58" w:firstLine="0"/>
              <w:jc w:val="right"/>
              <w:outlineLv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Смирнова О.А.</w:t>
            </w:r>
          </w:p>
        </w:tc>
      </w:tr>
    </w:tbl>
    <w:p w:rsidR="004C1004" w:rsidRPr="00DE2670" w:rsidRDefault="004C1004" w:rsidP="00DE2670">
      <w:pPr>
        <w:pStyle w:val="BodyTextIndent2"/>
        <w:ind w:right="-58"/>
        <w:jc w:val="center"/>
        <w:outlineLvl w:val="0"/>
        <w:rPr>
          <w:i w:val="0"/>
          <w:sz w:val="24"/>
          <w:szCs w:val="24"/>
        </w:rPr>
      </w:pPr>
    </w:p>
    <w:p w:rsidR="004C1004" w:rsidRPr="00DE2670" w:rsidRDefault="004C1004" w:rsidP="00DE2670">
      <w:pPr>
        <w:pStyle w:val="BodyTextIndent2"/>
        <w:ind w:right="-58"/>
        <w:jc w:val="center"/>
        <w:outlineLvl w:val="0"/>
        <w:rPr>
          <w:i w:val="0"/>
          <w:sz w:val="24"/>
          <w:szCs w:val="24"/>
        </w:rPr>
      </w:pPr>
    </w:p>
    <w:p w:rsidR="004C1004" w:rsidRPr="00DE2670" w:rsidRDefault="004C1004" w:rsidP="00DE2670">
      <w:pPr>
        <w:pStyle w:val="BodyTextIndent2"/>
        <w:ind w:right="-58"/>
        <w:jc w:val="center"/>
        <w:outlineLvl w:val="0"/>
        <w:rPr>
          <w:i w:val="0"/>
          <w:sz w:val="24"/>
          <w:szCs w:val="24"/>
        </w:rPr>
      </w:pPr>
    </w:p>
    <w:p w:rsidR="004C1004" w:rsidRPr="00DE2670" w:rsidRDefault="004C1004" w:rsidP="00DE2670">
      <w:pPr>
        <w:pStyle w:val="BodyTextIndent2"/>
        <w:ind w:right="-58"/>
        <w:jc w:val="center"/>
        <w:outlineLvl w:val="0"/>
        <w:rPr>
          <w:i w:val="0"/>
          <w:sz w:val="24"/>
          <w:szCs w:val="24"/>
        </w:rPr>
      </w:pPr>
    </w:p>
    <w:p w:rsidR="004C1004" w:rsidRPr="00DE2670" w:rsidRDefault="004C1004" w:rsidP="00DE2670">
      <w:pPr>
        <w:pStyle w:val="BodyTextIndent2"/>
        <w:ind w:right="-58"/>
        <w:jc w:val="center"/>
        <w:outlineLvl w:val="0"/>
        <w:rPr>
          <w:i w:val="0"/>
          <w:sz w:val="24"/>
          <w:szCs w:val="24"/>
        </w:rPr>
      </w:pPr>
    </w:p>
    <w:p w:rsidR="004C1004" w:rsidRPr="00DE2670" w:rsidRDefault="004C1004" w:rsidP="00DE2670">
      <w:pPr>
        <w:pStyle w:val="BodyTextIndent2"/>
        <w:ind w:right="-58"/>
        <w:jc w:val="center"/>
        <w:outlineLvl w:val="0"/>
        <w:rPr>
          <w:i w:val="0"/>
          <w:sz w:val="24"/>
          <w:szCs w:val="24"/>
        </w:rPr>
      </w:pPr>
    </w:p>
    <w:p w:rsidR="004C1004" w:rsidRPr="00DE2670" w:rsidRDefault="004C1004" w:rsidP="00DE2670">
      <w:pPr>
        <w:pStyle w:val="BodyTextIndent2"/>
        <w:ind w:right="-58"/>
        <w:jc w:val="center"/>
        <w:outlineLvl w:val="0"/>
        <w:rPr>
          <w:i w:val="0"/>
          <w:sz w:val="24"/>
          <w:szCs w:val="24"/>
        </w:rPr>
      </w:pPr>
    </w:p>
    <w:p w:rsidR="004C1004" w:rsidRPr="00DE2670" w:rsidRDefault="004C1004" w:rsidP="00DE2670">
      <w:pPr>
        <w:pStyle w:val="BodyTextIndent2"/>
        <w:ind w:right="-58"/>
        <w:jc w:val="center"/>
        <w:outlineLvl w:val="0"/>
        <w:rPr>
          <w:i w:val="0"/>
          <w:sz w:val="24"/>
          <w:szCs w:val="24"/>
        </w:rPr>
      </w:pPr>
    </w:p>
    <w:p w:rsidR="004C1004" w:rsidRPr="00DE2670" w:rsidRDefault="004C1004" w:rsidP="00DE2670">
      <w:pPr>
        <w:pStyle w:val="BodyTextIndent2"/>
        <w:ind w:right="-58"/>
        <w:jc w:val="center"/>
        <w:outlineLvl w:val="0"/>
        <w:rPr>
          <w:i w:val="0"/>
          <w:sz w:val="24"/>
          <w:szCs w:val="24"/>
        </w:rPr>
      </w:pPr>
    </w:p>
    <w:p w:rsidR="004C1004" w:rsidRPr="00DE2670" w:rsidRDefault="004C1004" w:rsidP="00DE2670">
      <w:pPr>
        <w:pStyle w:val="BodyTextIndent2"/>
        <w:ind w:right="-58"/>
        <w:jc w:val="center"/>
        <w:outlineLvl w:val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Москва 2012</w:t>
      </w:r>
    </w:p>
    <w:p w:rsidR="004C1004" w:rsidRDefault="004C1004" w:rsidP="00DE267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</w:rPr>
        <w:br w:type="page"/>
      </w:r>
      <w:r>
        <w:rPr>
          <w:rFonts w:ascii="Arial" w:hAnsi="Arial"/>
          <w:sz w:val="24"/>
          <w:szCs w:val="24"/>
        </w:rPr>
        <w:tab/>
      </w:r>
      <w:r w:rsidRPr="00DE267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договором № 626 от 07.08.2012 г. проведены исследования фракций золошлаковых отходов и золы-уноса Каширской ГРЭС по следующим физическим показателям: потери массы при прокаливании, гранулометрический состав и истинная плотность. </w:t>
      </w:r>
    </w:p>
    <w:p w:rsidR="004C1004" w:rsidRDefault="004C1004" w:rsidP="00DE267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Пробы золошлаков и золы на исследования были отобраны Заказчиком. Характеристика проб представлена в таблице № 1.</w:t>
      </w:r>
    </w:p>
    <w:p w:rsidR="004C1004" w:rsidRDefault="004C1004" w:rsidP="00DE267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 Характеристика ЗШО и золы-уноса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6164"/>
      </w:tblGrid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4905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проба № 1615</w:t>
            </w:r>
          </w:p>
        </w:tc>
        <w:tc>
          <w:tcPr>
            <w:tcW w:w="0" w:type="auto"/>
          </w:tcPr>
          <w:p w:rsidR="004C1004" w:rsidRPr="00902B4E" w:rsidRDefault="004C1004" w:rsidP="004905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 xml:space="preserve">Зола-унос из бункера электрофильтров Каширской ГРЭС 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4905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проба № 1616</w:t>
            </w:r>
          </w:p>
        </w:tc>
        <w:tc>
          <w:tcPr>
            <w:tcW w:w="0" w:type="auto"/>
          </w:tcPr>
          <w:p w:rsidR="004C1004" w:rsidRPr="00902B4E" w:rsidRDefault="004C1004" w:rsidP="004905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ЗШО с золоотвала Каширская ГРЭС карта № 2 проба № 1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проба № 1617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ЗШО с золоотвала Каширская ГРЭС карта № 2 проба № 2</w:t>
            </w:r>
          </w:p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проба № 1618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ЗШО с золоотвала Каширская ГРЭС карта № 2 проба № 3</w:t>
            </w:r>
          </w:p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проба № 1619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ЗШО с золоотвала Каширская ГРЭС карта № 2 проба № 4</w:t>
            </w:r>
          </w:p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004" w:rsidRDefault="004C1004" w:rsidP="00DE267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1004" w:rsidRDefault="004C1004" w:rsidP="00DE267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исходных пробах ЗШО был определен гранулометрический состав. Гранулометрический состав определялся двумя методами: 0 – 315 мкм методом лазерной дифракции по </w:t>
      </w:r>
      <w:r>
        <w:rPr>
          <w:rFonts w:ascii="Times New Roman" w:hAnsi="Times New Roman"/>
          <w:sz w:val="24"/>
          <w:szCs w:val="24"/>
          <w:lang w:val="en-US"/>
        </w:rPr>
        <w:t>ISO</w:t>
      </w:r>
      <w:r>
        <w:rPr>
          <w:rFonts w:ascii="Times New Roman" w:hAnsi="Times New Roman"/>
          <w:sz w:val="24"/>
          <w:szCs w:val="24"/>
        </w:rPr>
        <w:t xml:space="preserve"> 13320-2009 «Гранулометрический анализ. Методы лазерной дифракции», и свыше 315 мкм ситовым методом по ГОСТ 2093-82 «Топливо твердое. Ситовой метод определения гранулометрического состава». После определения гранулометрического состава этими методами результаты комбинировались. Результаты определения гранулометрического состава приведены в таблице № 2.</w:t>
      </w:r>
    </w:p>
    <w:p w:rsidR="004C1004" w:rsidRDefault="004C1004" w:rsidP="00DE267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 Результаты определения гранулометрического состава проб ЗШО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985"/>
        <w:gridCol w:w="985"/>
        <w:gridCol w:w="985"/>
        <w:gridCol w:w="985"/>
      </w:tblGrid>
      <w:tr w:rsidR="004C1004" w:rsidRPr="00902B4E" w:rsidTr="003F401C">
        <w:trPr>
          <w:jc w:val="center"/>
        </w:trPr>
        <w:tc>
          <w:tcPr>
            <w:tcW w:w="0" w:type="auto"/>
            <w:vMerge w:val="restart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Фракция, мкм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№ 1616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№ 1617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№ 1618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№ 1619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  <w:vMerge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&gt; 315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200 – 300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100 – 200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50 – 100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 xml:space="preserve">45 – 50 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 xml:space="preserve">20 – 45 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 xml:space="preserve">10 – 20 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 xml:space="preserve">5 – 10 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 xml:space="preserve">4 – 5 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 xml:space="preserve">3 – 4 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 xml:space="preserve">2 – 3 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 xml:space="preserve">1 – 2 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 xml:space="preserve">0,3 – 1 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C1004" w:rsidRPr="00902B4E" w:rsidTr="003F401C">
        <w:trPr>
          <w:jc w:val="center"/>
        </w:trPr>
        <w:tc>
          <w:tcPr>
            <w:tcW w:w="0" w:type="auto"/>
          </w:tcPr>
          <w:p w:rsidR="004C1004" w:rsidRPr="00902B4E" w:rsidRDefault="004C1004" w:rsidP="003F401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2B4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B4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B4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B4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4C1004" w:rsidRPr="00902B4E" w:rsidRDefault="004C1004" w:rsidP="003F40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B4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4C1004" w:rsidRDefault="004C1004" w:rsidP="00DE267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1004" w:rsidRDefault="004C1004" w:rsidP="00DE267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Пробы ЗШО рассеивались на фракции: больше 315 мкм, 45 – 315 мкм и меньше 45 мкм. В каждой фракции определялись потери массы при прокаливании (недожог) и истинная плотность. Потери массы при прокаливании (недожог) определялись по ГОСТ 11022-95 «Топливо твердое минеральное. Методы определения зольности». Истинная плотность определялась методом жидкостного пикнометра по ГОСТ 310.2 «Цементы. Методы определения тонкости помола», в качестве дисперсионной жидкости выступала дистиллированная вода. Результаты определения потери массы при прокаливании и истинной плотности фракций ЗШО, а также потери массы при прокаливании золы-уноса приведены в таблице № 3.</w:t>
      </w:r>
    </w:p>
    <w:p w:rsidR="004C1004" w:rsidRDefault="004C1004" w:rsidP="00DE267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 Определение потери при прокаливании и истинной плотности ЗШО и золы-уноса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3685"/>
        <w:gridCol w:w="2835"/>
      </w:tblGrid>
      <w:tr w:rsidR="004C1004" w:rsidRPr="00902B4E" w:rsidTr="00902B4E">
        <w:tc>
          <w:tcPr>
            <w:tcW w:w="3227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Аналитический номер пробы</w:t>
            </w:r>
          </w:p>
        </w:tc>
        <w:tc>
          <w:tcPr>
            <w:tcW w:w="3685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 xml:space="preserve">Потери массы при прокаливании, 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 xml:space="preserve">Истинная плотность, 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г/см</w:t>
            </w:r>
            <w:r w:rsidRPr="00902B4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C1004" w:rsidRPr="00902B4E" w:rsidTr="00902B4E">
        <w:tc>
          <w:tcPr>
            <w:tcW w:w="3227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№ 1615</w:t>
            </w:r>
          </w:p>
        </w:tc>
        <w:tc>
          <w:tcPr>
            <w:tcW w:w="3685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2835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04" w:rsidRPr="00902B4E" w:rsidTr="00902B4E">
        <w:tc>
          <w:tcPr>
            <w:tcW w:w="3227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№ 1616: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Фракция больше 315 мкм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Фракция 45 – 315 мкм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Фракция меньше 45 мкм</w:t>
            </w:r>
          </w:p>
        </w:tc>
        <w:tc>
          <w:tcPr>
            <w:tcW w:w="3685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15,1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2835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1,78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4C1004" w:rsidRPr="00902B4E" w:rsidTr="00902B4E">
        <w:tc>
          <w:tcPr>
            <w:tcW w:w="3227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№ 1617: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Фракция больше 315 мкм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Фракция 45 – 315 мкм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Фракция меньше 45 мкм</w:t>
            </w:r>
          </w:p>
        </w:tc>
        <w:tc>
          <w:tcPr>
            <w:tcW w:w="3685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26,32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2835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2,43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1,83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</w:tr>
      <w:tr w:rsidR="004C1004" w:rsidRPr="00902B4E" w:rsidTr="00902B4E">
        <w:tc>
          <w:tcPr>
            <w:tcW w:w="3227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№ 1618: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Фракция больше 315 мкм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Фракция 45 – 315 мкм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Фракция меньше 45 мкм</w:t>
            </w:r>
          </w:p>
        </w:tc>
        <w:tc>
          <w:tcPr>
            <w:tcW w:w="3685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30,97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11,26</w:t>
            </w:r>
          </w:p>
        </w:tc>
        <w:tc>
          <w:tcPr>
            <w:tcW w:w="2835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2,44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1,92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</w:tr>
      <w:tr w:rsidR="004C1004" w:rsidRPr="00902B4E" w:rsidTr="00902B4E">
        <w:tc>
          <w:tcPr>
            <w:tcW w:w="3227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№ 1619: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Фракция больше 315 мкм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Фракция 45 – 315 мкм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Фракция меньше 45 мкм</w:t>
            </w:r>
          </w:p>
        </w:tc>
        <w:tc>
          <w:tcPr>
            <w:tcW w:w="3685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7,6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26,92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  <w:tc>
          <w:tcPr>
            <w:tcW w:w="2835" w:type="dxa"/>
          </w:tcPr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2,50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1,90</w:t>
            </w:r>
          </w:p>
          <w:p w:rsidR="004C1004" w:rsidRPr="00902B4E" w:rsidRDefault="004C1004" w:rsidP="00902B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4E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</w:tr>
    </w:tbl>
    <w:p w:rsidR="004C1004" w:rsidRDefault="004C1004" w:rsidP="00DE267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1004" w:rsidRPr="003412C5" w:rsidRDefault="004C1004" w:rsidP="00DE267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Результаты всех исследований приведены в протоколах испытаний ИЦ «Теплотехник» ОАО «ВТИ».</w:t>
      </w:r>
    </w:p>
    <w:sectPr w:rsidR="004C1004" w:rsidRPr="003412C5" w:rsidSect="00DA7265">
      <w:foot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004" w:rsidRDefault="004C1004" w:rsidP="003412C5">
      <w:pPr>
        <w:spacing w:after="0" w:line="240" w:lineRule="auto"/>
      </w:pPr>
      <w:r>
        <w:separator/>
      </w:r>
    </w:p>
  </w:endnote>
  <w:endnote w:type="continuationSeparator" w:id="1">
    <w:p w:rsidR="004C1004" w:rsidRDefault="004C1004" w:rsidP="0034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04" w:rsidRDefault="004C100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C1004" w:rsidRDefault="004C1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004" w:rsidRDefault="004C1004" w:rsidP="003412C5">
      <w:pPr>
        <w:spacing w:after="0" w:line="240" w:lineRule="auto"/>
      </w:pPr>
      <w:r>
        <w:separator/>
      </w:r>
    </w:p>
  </w:footnote>
  <w:footnote w:type="continuationSeparator" w:id="1">
    <w:p w:rsidR="004C1004" w:rsidRDefault="004C1004" w:rsidP="00341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670"/>
    <w:rsid w:val="002171C0"/>
    <w:rsid w:val="003412C5"/>
    <w:rsid w:val="003F401C"/>
    <w:rsid w:val="00490541"/>
    <w:rsid w:val="004C1004"/>
    <w:rsid w:val="005C3CD3"/>
    <w:rsid w:val="00902B4E"/>
    <w:rsid w:val="00C43D3C"/>
    <w:rsid w:val="00C9456F"/>
    <w:rsid w:val="00DA7265"/>
    <w:rsid w:val="00DE2670"/>
    <w:rsid w:val="00F7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F4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rsid w:val="00DE2670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DE2670"/>
    <w:rPr>
      <w:rFonts w:ascii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DE2670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E2670"/>
    <w:rPr>
      <w:rFonts w:ascii="Times New Roman" w:hAnsi="Times New Roman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E2670"/>
    <w:pPr>
      <w:suppressAutoHyphens/>
      <w:spacing w:after="0" w:line="240" w:lineRule="auto"/>
      <w:ind w:right="3379" w:firstLine="709"/>
    </w:pPr>
    <w:rPr>
      <w:rFonts w:ascii="Times New Roman" w:hAnsi="Times New Roman"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E2670"/>
    <w:rPr>
      <w:rFonts w:ascii="Times New Roman" w:hAnsi="Times New Roman" w:cs="Times New Roman"/>
      <w:i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12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12C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12C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171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A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72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2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537</Words>
  <Characters>3062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1</dc:creator>
  <cp:keywords/>
  <dc:description/>
  <cp:lastModifiedBy>admin</cp:lastModifiedBy>
  <cp:revision>2</cp:revision>
  <cp:lastPrinted>2012-09-04T13:00:00Z</cp:lastPrinted>
  <dcterms:created xsi:type="dcterms:W3CDTF">2013-02-17T04:50:00Z</dcterms:created>
  <dcterms:modified xsi:type="dcterms:W3CDTF">2013-02-17T04:50:00Z</dcterms:modified>
</cp:coreProperties>
</file>